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E7" w:rsidRDefault="00B924E7" w:rsidP="00B924E7">
      <w:pPr>
        <w:pStyle w:val="Web"/>
        <w:shd w:val="clear" w:color="auto" w:fill="FFFFFF"/>
        <w:spacing w:before="192" w:beforeAutospacing="0" w:after="192" w:afterAutospacing="0"/>
        <w:jc w:val="both"/>
        <w:rPr>
          <w:rStyle w:val="a3"/>
          <w:rFonts w:asciiTheme="minorHAnsi" w:hAnsiTheme="minorHAnsi" w:cstheme="minorHAnsi"/>
          <w:color w:val="FF0000"/>
          <w:spacing w:val="11"/>
          <w:sz w:val="28"/>
          <w:szCs w:val="28"/>
          <w:u w:val="thick"/>
          <w:lang w:val="en-US"/>
        </w:rPr>
      </w:pPr>
      <w:r w:rsidRPr="00C171EB">
        <w:rPr>
          <w:rStyle w:val="a3"/>
          <w:rFonts w:asciiTheme="minorHAnsi" w:hAnsiTheme="minorHAnsi" w:cstheme="minorHAnsi"/>
          <w:color w:val="FF0000"/>
          <w:spacing w:val="11"/>
          <w:sz w:val="28"/>
          <w:szCs w:val="28"/>
          <w:u w:val="thick"/>
        </w:rPr>
        <w:t xml:space="preserve">ΘΑΝΑΤΟΥ </w:t>
      </w:r>
    </w:p>
    <w:p w:rsidR="00B924E7" w:rsidRPr="00B924E7" w:rsidRDefault="00B924E7" w:rsidP="00B924E7">
      <w:pPr>
        <w:pStyle w:val="Web"/>
        <w:shd w:val="clear" w:color="auto" w:fill="FFFFFF"/>
        <w:spacing w:before="192" w:beforeAutospacing="0" w:after="192" w:afterAutospacing="0"/>
        <w:jc w:val="both"/>
        <w:rPr>
          <w:rStyle w:val="a3"/>
          <w:rFonts w:asciiTheme="minorHAnsi" w:hAnsiTheme="minorHAnsi" w:cstheme="minorHAnsi"/>
          <w:color w:val="FF0000"/>
          <w:spacing w:val="11"/>
          <w:sz w:val="28"/>
          <w:szCs w:val="28"/>
          <w:u w:val="thick"/>
          <w:lang w:val="en-US"/>
        </w:rPr>
      </w:pPr>
    </w:p>
    <w:p w:rsidR="00B924E7" w:rsidRPr="00C171EB" w:rsidRDefault="00B924E7" w:rsidP="00B924E7">
      <w:pPr>
        <w:pStyle w:val="Web"/>
        <w:shd w:val="clear" w:color="auto" w:fill="FFFFFF"/>
        <w:spacing w:before="192" w:beforeAutospacing="0" w:after="192" w:afterAutospacing="0"/>
        <w:rPr>
          <w:rStyle w:val="a4"/>
          <w:rFonts w:asciiTheme="minorHAnsi" w:hAnsiTheme="minorHAnsi" w:cstheme="minorHAnsi"/>
          <w:spacing w:val="11"/>
          <w:sz w:val="28"/>
          <w:szCs w:val="28"/>
        </w:rPr>
      </w:pPr>
      <w:r w:rsidRPr="00C96CBE">
        <w:rPr>
          <w:rStyle w:val="a3"/>
          <w:rFonts w:asciiTheme="minorHAnsi" w:hAnsiTheme="minorHAnsi" w:cstheme="minorHAnsi"/>
          <w:spacing w:val="11"/>
          <w:sz w:val="28"/>
          <w:szCs w:val="28"/>
        </w:rPr>
        <w:t>Δικαιούχα πρόσωπα:</w:t>
      </w:r>
      <w:r w:rsidRPr="00C96CBE">
        <w:rPr>
          <w:rFonts w:asciiTheme="minorHAnsi" w:hAnsiTheme="minorHAnsi" w:cstheme="minorHAnsi"/>
          <w:b/>
          <w:bCs/>
          <w:spacing w:val="11"/>
          <w:sz w:val="28"/>
          <w:szCs w:val="28"/>
        </w:rPr>
        <w:br/>
      </w:r>
      <w:proofErr w:type="spellStart"/>
      <w:r w:rsidRPr="00C96CBE">
        <w:rPr>
          <w:rFonts w:asciiTheme="minorHAnsi" w:hAnsiTheme="minorHAnsi" w:cstheme="minorHAnsi"/>
          <w:spacing w:val="11"/>
          <w:sz w:val="28"/>
          <w:szCs w:val="28"/>
        </w:rPr>
        <w:t>Eπί</w:t>
      </w:r>
      <w:proofErr w:type="spellEnd"/>
      <w:r w:rsidRPr="00C96CBE">
        <w:rPr>
          <w:rFonts w:asciiTheme="minorHAnsi" w:hAnsiTheme="minorHAnsi" w:cstheme="minorHAnsi"/>
          <w:spacing w:val="11"/>
          <w:sz w:val="28"/>
          <w:szCs w:val="28"/>
        </w:rPr>
        <w:t xml:space="preserve"> θανάτου συνταξιούχου ή ασφαλισμένου που  έχει πραγματοποιήσει τον οριζόμενο ανά περίπτωση χρόνο ασφάλισης  δικαιούχοι της σύνταξης είναι ο επιζών σύζυγος/μέλος συμφώνου συμβίωσης ,τα νόμιμα τέκνα και ο διαζευγμένος σύζυγος που πληρούν τις οριζόμενες από το νόμο προϋποθέσεις (άρθρο 12 του ν.4387/2016, όπως ισχύει)</w:t>
      </w:r>
      <w:r w:rsidRPr="00C96CBE">
        <w:rPr>
          <w:rFonts w:asciiTheme="minorHAnsi" w:hAnsiTheme="minorHAnsi" w:cstheme="minorHAnsi"/>
          <w:spacing w:val="11"/>
          <w:sz w:val="28"/>
          <w:szCs w:val="28"/>
        </w:rPr>
        <w:br/>
      </w:r>
      <w:r w:rsidRPr="00C96CBE">
        <w:rPr>
          <w:rFonts w:asciiTheme="minorHAnsi" w:hAnsiTheme="minorHAnsi" w:cstheme="minorHAnsi"/>
          <w:b/>
          <w:bCs/>
          <w:i/>
          <w:iCs/>
          <w:spacing w:val="11"/>
          <w:sz w:val="28"/>
          <w:szCs w:val="28"/>
        </w:rPr>
        <w:br/>
      </w:r>
      <w:r w:rsidRPr="00C96CBE">
        <w:rPr>
          <w:rStyle w:val="a3"/>
          <w:rFonts w:asciiTheme="minorHAnsi" w:hAnsiTheme="minorHAnsi" w:cstheme="minorHAnsi"/>
          <w:spacing w:val="11"/>
          <w:sz w:val="28"/>
          <w:szCs w:val="28"/>
        </w:rPr>
        <w:t>Ποσοστά σύνταξης δικαιοδόχων:</w:t>
      </w:r>
      <w:r w:rsidRPr="00C96CBE">
        <w:rPr>
          <w:rFonts w:asciiTheme="minorHAnsi" w:hAnsiTheme="minorHAnsi" w:cstheme="minorHAnsi"/>
          <w:spacing w:val="11"/>
          <w:sz w:val="28"/>
          <w:szCs w:val="28"/>
        </w:rPr>
        <w:br/>
      </w:r>
      <w:r w:rsidRPr="00C96CBE">
        <w:rPr>
          <w:rStyle w:val="a4"/>
          <w:rFonts w:asciiTheme="minorHAnsi" w:hAnsiTheme="minorHAnsi" w:cstheme="minorHAnsi"/>
          <w:spacing w:val="11"/>
          <w:sz w:val="28"/>
          <w:szCs w:val="28"/>
        </w:rPr>
        <w:t>α) Επιζών σύζυγος /μέλος συμφώνου συμβίωσης</w:t>
      </w:r>
      <w:r w:rsidRPr="00C96CBE">
        <w:rPr>
          <w:rFonts w:asciiTheme="minorHAnsi" w:hAnsiTheme="minorHAnsi" w:cstheme="minorHAnsi"/>
          <w:spacing w:val="11"/>
          <w:sz w:val="28"/>
          <w:szCs w:val="28"/>
        </w:rPr>
        <w:br/>
        <w:t>70% της δικαιούμενης σύνταξης του θανόντα για τα πρώτα 3 έτη μετά το θάνατο. Το ποσοστό αυτό συνεχίζεται χορηγούμενο και μετά την πρώτη 3ετία εφόσον ο επιζών δικαιούχος δεν εργάζεται ή δεν λαμβάνει σύνταξη. Σε περίπτωση εργασίας ή λήψης σύνταξης το ποσοστό σύνταξης θανάτου μετά την πρώτη τριετία ανέρχεται στο 50% του πλήρους ποσού της σύνταξης θανάτου.</w:t>
      </w:r>
    </w:p>
    <w:p w:rsidR="00B924E7" w:rsidRPr="00C171EB" w:rsidRDefault="00B924E7" w:rsidP="00B924E7">
      <w:pPr>
        <w:pStyle w:val="Web"/>
        <w:shd w:val="clear" w:color="auto" w:fill="FFFFFF"/>
        <w:spacing w:before="192" w:beforeAutospacing="0" w:after="192" w:afterAutospacing="0"/>
        <w:rPr>
          <w:rFonts w:asciiTheme="minorHAnsi" w:hAnsiTheme="minorHAnsi" w:cstheme="minorHAnsi"/>
          <w:b/>
          <w:spacing w:val="11"/>
          <w:sz w:val="28"/>
          <w:szCs w:val="28"/>
        </w:rPr>
      </w:pPr>
      <w:r w:rsidRPr="00C96CBE">
        <w:rPr>
          <w:rStyle w:val="a4"/>
          <w:rFonts w:asciiTheme="minorHAnsi" w:hAnsiTheme="minorHAnsi" w:cstheme="minorHAnsi"/>
          <w:spacing w:val="11"/>
          <w:sz w:val="28"/>
          <w:szCs w:val="28"/>
        </w:rPr>
        <w:t xml:space="preserve">β) </w:t>
      </w:r>
      <w:r w:rsidRPr="00C171EB">
        <w:rPr>
          <w:rStyle w:val="a4"/>
          <w:rFonts w:asciiTheme="minorHAnsi" w:hAnsiTheme="minorHAnsi" w:cstheme="minorHAnsi"/>
          <w:b/>
          <w:spacing w:val="11"/>
          <w:sz w:val="28"/>
          <w:szCs w:val="28"/>
        </w:rPr>
        <w:t>Προστατευόμενα τέκνα</w:t>
      </w:r>
    </w:p>
    <w:p w:rsidR="00B924E7" w:rsidRPr="00C96CBE" w:rsidRDefault="00B924E7" w:rsidP="00B924E7">
      <w:pPr>
        <w:pStyle w:val="Web"/>
        <w:shd w:val="clear" w:color="auto" w:fill="FFFFFF"/>
        <w:spacing w:before="192" w:beforeAutospacing="0" w:after="192" w:afterAutospacing="0"/>
        <w:rPr>
          <w:rFonts w:asciiTheme="minorHAnsi" w:hAnsiTheme="minorHAnsi" w:cstheme="minorHAnsi"/>
          <w:spacing w:val="11"/>
          <w:sz w:val="28"/>
          <w:szCs w:val="28"/>
        </w:rPr>
      </w:pPr>
      <w:r w:rsidRPr="00C96CBE">
        <w:rPr>
          <w:rFonts w:asciiTheme="minorHAnsi" w:hAnsiTheme="minorHAnsi" w:cstheme="minorHAnsi"/>
          <w:spacing w:val="11"/>
          <w:sz w:val="28"/>
          <w:szCs w:val="28"/>
        </w:rPr>
        <w:t>Το άγαμο τέκνο  λαμβάνει σύνταξη θανάτου μέχρι το 24ο έτος.  Τα  ανίκανα για κάθε βιοποριστική εργασία άγαμα παιδιά των οποίων η ανικανότητα επήλθε πριν τη συμπλήρωση του 24</w:t>
      </w:r>
      <w:r w:rsidRPr="00C96CBE">
        <w:rPr>
          <w:rFonts w:asciiTheme="minorHAnsi" w:hAnsiTheme="minorHAnsi" w:cstheme="minorHAnsi"/>
          <w:spacing w:val="11"/>
          <w:sz w:val="28"/>
          <w:szCs w:val="28"/>
          <w:vertAlign w:val="superscript"/>
        </w:rPr>
        <w:t>ου</w:t>
      </w:r>
      <w:r w:rsidRPr="00C96CBE">
        <w:rPr>
          <w:rFonts w:asciiTheme="minorHAnsi" w:hAnsiTheme="minorHAnsi" w:cstheme="minorHAnsi"/>
          <w:spacing w:val="11"/>
          <w:sz w:val="28"/>
          <w:szCs w:val="28"/>
        </w:rPr>
        <w:t> έτους  συνεχίζουν να λαμβάνουν τη σύνταξη θανάτου και μετά τη συμπλήρωση του 24</w:t>
      </w:r>
      <w:r w:rsidRPr="00C96CBE">
        <w:rPr>
          <w:rFonts w:asciiTheme="minorHAnsi" w:hAnsiTheme="minorHAnsi" w:cstheme="minorHAnsi"/>
          <w:spacing w:val="11"/>
          <w:sz w:val="28"/>
          <w:szCs w:val="28"/>
          <w:vertAlign w:val="superscript"/>
        </w:rPr>
        <w:t>ου</w:t>
      </w:r>
      <w:r w:rsidRPr="00C96CBE">
        <w:rPr>
          <w:rFonts w:asciiTheme="minorHAnsi" w:hAnsiTheme="minorHAnsi" w:cstheme="minorHAnsi"/>
          <w:spacing w:val="11"/>
          <w:sz w:val="28"/>
          <w:szCs w:val="28"/>
        </w:rPr>
        <w:t> έτους.</w:t>
      </w:r>
    </w:p>
    <w:p w:rsidR="00B924E7" w:rsidRPr="00C96CBE" w:rsidRDefault="00B924E7" w:rsidP="00B924E7">
      <w:pPr>
        <w:pStyle w:val="Web"/>
        <w:shd w:val="clear" w:color="auto" w:fill="FFFFFF"/>
        <w:spacing w:before="192" w:beforeAutospacing="0" w:after="192" w:afterAutospacing="0"/>
        <w:rPr>
          <w:rFonts w:asciiTheme="minorHAnsi" w:hAnsiTheme="minorHAnsi" w:cstheme="minorHAnsi"/>
          <w:spacing w:val="11"/>
          <w:sz w:val="28"/>
          <w:szCs w:val="28"/>
        </w:rPr>
      </w:pPr>
      <w:r w:rsidRPr="00C96CBE">
        <w:rPr>
          <w:rFonts w:asciiTheme="minorHAnsi" w:hAnsiTheme="minorHAnsi" w:cstheme="minorHAnsi"/>
          <w:spacing w:val="11"/>
          <w:sz w:val="28"/>
          <w:szCs w:val="28"/>
        </w:rPr>
        <w:t>Το δικαιούμενο ποσό κάθε τέκνου ανέρχεται στο 25% της σύνταξης θανάτου. Επί περισσοτέρων του ενός τέκνων παιδιών  το ποσό επιμερίζεται ισόποσα . Στην περίπτωση τέκνου  ορφανού και από τους δύο γονείς, το οποίο δικαιούται σύνταξη και από τους δύο γονείς , χορηγείται το  50% των δικαιούμενων και από τους δύο γονείς συντάξεων.</w:t>
      </w:r>
    </w:p>
    <w:p w:rsidR="00B924E7" w:rsidRPr="00C96CBE" w:rsidRDefault="00B924E7" w:rsidP="00B924E7">
      <w:pPr>
        <w:pStyle w:val="Web"/>
        <w:shd w:val="clear" w:color="auto" w:fill="FFFFFF"/>
        <w:spacing w:before="192" w:beforeAutospacing="0" w:after="192" w:afterAutospacing="0"/>
        <w:rPr>
          <w:rFonts w:asciiTheme="minorHAnsi" w:hAnsiTheme="minorHAnsi" w:cstheme="minorHAnsi"/>
          <w:spacing w:val="11"/>
          <w:sz w:val="28"/>
          <w:szCs w:val="28"/>
        </w:rPr>
      </w:pPr>
      <w:r w:rsidRPr="00C96CBE">
        <w:rPr>
          <w:rFonts w:asciiTheme="minorHAnsi" w:hAnsiTheme="minorHAnsi" w:cstheme="minorHAnsi"/>
          <w:spacing w:val="11"/>
          <w:sz w:val="28"/>
          <w:szCs w:val="28"/>
        </w:rPr>
        <w:t xml:space="preserve">Τα ορφανά τέκνα με βαριές αναπηρίες, που έχουν επέλθει πριν τη συμπλήρωση του 24ου έτους, δικαιούνται το σύνολο της σύνταξης που πραγματικά ελάμβανε ο θανών ή θα </w:t>
      </w:r>
      <w:proofErr w:type="spellStart"/>
      <w:r w:rsidRPr="00C96CBE">
        <w:rPr>
          <w:rFonts w:asciiTheme="minorHAnsi" w:hAnsiTheme="minorHAnsi" w:cstheme="minorHAnsi"/>
          <w:spacing w:val="11"/>
          <w:sz w:val="28"/>
          <w:szCs w:val="28"/>
        </w:rPr>
        <w:t>εδικαιούτο</w:t>
      </w:r>
      <w:proofErr w:type="spellEnd"/>
      <w:r w:rsidRPr="00C96CBE">
        <w:rPr>
          <w:rFonts w:asciiTheme="minorHAnsi" w:hAnsiTheme="minorHAnsi" w:cstheme="minorHAnsi"/>
          <w:spacing w:val="11"/>
          <w:sz w:val="28"/>
          <w:szCs w:val="28"/>
        </w:rPr>
        <w:t xml:space="preserve"> να λάβει με την προϋπόθεση ότι δεν εργάζονται ή δεν παίρνουν σύνταξη από δική τους εργασία.</w:t>
      </w:r>
    </w:p>
    <w:p w:rsidR="00B924E7" w:rsidRDefault="00B924E7" w:rsidP="00B924E7">
      <w:pPr>
        <w:pStyle w:val="Web"/>
        <w:shd w:val="clear" w:color="auto" w:fill="FFFFFF"/>
        <w:spacing w:before="192" w:beforeAutospacing="0" w:after="192" w:afterAutospacing="0"/>
        <w:rPr>
          <w:rStyle w:val="a4"/>
          <w:rFonts w:asciiTheme="minorHAnsi" w:hAnsiTheme="minorHAnsi" w:cstheme="minorHAnsi"/>
          <w:spacing w:val="11"/>
          <w:sz w:val="28"/>
          <w:szCs w:val="28"/>
          <w:lang w:val="en-US"/>
        </w:rPr>
      </w:pPr>
    </w:p>
    <w:p w:rsidR="00B924E7" w:rsidRDefault="00B924E7" w:rsidP="00B924E7">
      <w:pPr>
        <w:pStyle w:val="Web"/>
        <w:shd w:val="clear" w:color="auto" w:fill="FFFFFF"/>
        <w:spacing w:before="192" w:beforeAutospacing="0" w:after="192" w:afterAutospacing="0"/>
        <w:rPr>
          <w:rStyle w:val="a4"/>
          <w:rFonts w:asciiTheme="minorHAnsi" w:hAnsiTheme="minorHAnsi" w:cstheme="minorHAnsi"/>
          <w:spacing w:val="11"/>
          <w:sz w:val="28"/>
          <w:szCs w:val="28"/>
          <w:lang w:val="en-US"/>
        </w:rPr>
      </w:pPr>
    </w:p>
    <w:p w:rsidR="00B924E7" w:rsidRPr="00C96CBE" w:rsidRDefault="00B924E7" w:rsidP="00B924E7">
      <w:pPr>
        <w:pStyle w:val="Web"/>
        <w:shd w:val="clear" w:color="auto" w:fill="FFFFFF"/>
        <w:spacing w:before="192" w:beforeAutospacing="0" w:after="192" w:afterAutospacing="0"/>
        <w:rPr>
          <w:rFonts w:asciiTheme="minorHAnsi" w:hAnsiTheme="minorHAnsi" w:cstheme="minorHAnsi"/>
          <w:spacing w:val="11"/>
          <w:sz w:val="28"/>
          <w:szCs w:val="28"/>
        </w:rPr>
      </w:pPr>
      <w:r w:rsidRPr="00C96CBE">
        <w:rPr>
          <w:rStyle w:val="a4"/>
          <w:rFonts w:asciiTheme="minorHAnsi" w:hAnsiTheme="minorHAnsi" w:cstheme="minorHAnsi"/>
          <w:spacing w:val="11"/>
          <w:sz w:val="28"/>
          <w:szCs w:val="28"/>
        </w:rPr>
        <w:t xml:space="preserve">γ) </w:t>
      </w:r>
      <w:r w:rsidRPr="00B924E7">
        <w:rPr>
          <w:rStyle w:val="a4"/>
          <w:rFonts w:asciiTheme="minorHAnsi" w:hAnsiTheme="minorHAnsi" w:cstheme="minorHAnsi"/>
          <w:b/>
          <w:spacing w:val="11"/>
          <w:sz w:val="28"/>
          <w:szCs w:val="28"/>
        </w:rPr>
        <w:t>Διαζευγμένος σύζυγος</w:t>
      </w:r>
      <w:r w:rsidRPr="00C96CBE">
        <w:rPr>
          <w:rFonts w:asciiTheme="minorHAnsi" w:hAnsiTheme="minorHAnsi" w:cstheme="minorHAnsi"/>
          <w:spacing w:val="11"/>
          <w:sz w:val="28"/>
          <w:szCs w:val="28"/>
        </w:rPr>
        <w:br/>
        <w:t>Ο διαζευγμένος σύζυγος δικαιούται ποσοστό της σύνταξης του θανόντα εφόσον πληροί αθροιστικά τις οριζόμενες από το νόμο προϋποθέσεις (</w:t>
      </w:r>
      <w:proofErr w:type="spellStart"/>
      <w:r w:rsidRPr="00C96CBE">
        <w:rPr>
          <w:rFonts w:asciiTheme="minorHAnsi" w:hAnsiTheme="minorHAnsi" w:cstheme="minorHAnsi"/>
          <w:spacing w:val="11"/>
          <w:sz w:val="28"/>
          <w:szCs w:val="28"/>
        </w:rPr>
        <w:t>περ.Γ</w:t>
      </w:r>
      <w:proofErr w:type="spellEnd"/>
      <w:r w:rsidRPr="00C96CBE">
        <w:rPr>
          <w:rFonts w:asciiTheme="minorHAnsi" w:hAnsiTheme="minorHAnsi" w:cstheme="minorHAnsi"/>
          <w:spacing w:val="11"/>
          <w:sz w:val="28"/>
          <w:szCs w:val="28"/>
        </w:rPr>
        <w:t>  παρ. Α του άρθρου 12 του ν.4387/2016).</w:t>
      </w:r>
    </w:p>
    <w:p w:rsidR="00B924E7" w:rsidRPr="00C96CBE" w:rsidRDefault="00B924E7" w:rsidP="00B924E7">
      <w:pPr>
        <w:pStyle w:val="Web"/>
        <w:shd w:val="clear" w:color="auto" w:fill="FFFFFF"/>
        <w:spacing w:before="192" w:beforeAutospacing="0" w:after="192" w:afterAutospacing="0"/>
        <w:rPr>
          <w:rFonts w:asciiTheme="minorHAnsi" w:hAnsiTheme="minorHAnsi" w:cstheme="minorHAnsi"/>
          <w:spacing w:val="11"/>
          <w:sz w:val="28"/>
          <w:szCs w:val="28"/>
        </w:rPr>
      </w:pPr>
      <w:r w:rsidRPr="00C96CBE">
        <w:rPr>
          <w:rStyle w:val="a3"/>
          <w:rFonts w:asciiTheme="minorHAnsi" w:hAnsiTheme="minorHAnsi" w:cstheme="minorHAnsi"/>
          <w:spacing w:val="11"/>
          <w:sz w:val="28"/>
          <w:szCs w:val="28"/>
        </w:rPr>
        <w:t>Λήξη δικαιώματος σύνταξης θανάτου</w:t>
      </w:r>
    </w:p>
    <w:p w:rsidR="00B924E7" w:rsidRPr="00964D37" w:rsidRDefault="00B924E7" w:rsidP="00B924E7">
      <w:pPr>
        <w:pStyle w:val="Web"/>
        <w:shd w:val="clear" w:color="auto" w:fill="FFFFFF"/>
        <w:spacing w:before="192" w:beforeAutospacing="0" w:after="192" w:afterAutospacing="0"/>
        <w:rPr>
          <w:rFonts w:asciiTheme="minorHAnsi" w:hAnsiTheme="minorHAnsi" w:cstheme="minorHAnsi"/>
          <w:spacing w:val="11"/>
          <w:sz w:val="28"/>
          <w:szCs w:val="28"/>
        </w:rPr>
      </w:pPr>
      <w:r w:rsidRPr="00C96CBE">
        <w:rPr>
          <w:rFonts w:asciiTheme="minorHAnsi" w:hAnsiTheme="minorHAnsi" w:cstheme="minorHAnsi"/>
          <w:spacing w:val="11"/>
          <w:sz w:val="28"/>
          <w:szCs w:val="28"/>
        </w:rPr>
        <w:t>Το δικαίωμα  λήγει με το θάνατο του δικαιούχου ή με την τέλεση γάμου και στην περίπτωση των παιδιών με την συμπλήρωση του 24ου έτους.</w:t>
      </w:r>
      <w:r w:rsidRPr="00C96CBE">
        <w:rPr>
          <w:rStyle w:val="a4"/>
          <w:rFonts w:asciiTheme="minorHAnsi" w:hAnsiTheme="minorHAnsi" w:cstheme="minorHAnsi"/>
          <w:b/>
          <w:bCs/>
          <w:spacing w:val="11"/>
          <w:sz w:val="28"/>
          <w:szCs w:val="28"/>
        </w:rPr>
        <w:t>  </w:t>
      </w:r>
    </w:p>
    <w:p w:rsidR="00B924E7" w:rsidRPr="00B12F33" w:rsidRDefault="00B924E7" w:rsidP="00B924E7">
      <w:pPr>
        <w:pStyle w:val="Web"/>
        <w:shd w:val="clear" w:color="auto" w:fill="FFFFFF"/>
        <w:spacing w:before="192" w:beforeAutospacing="0" w:after="192" w:afterAutospacing="0"/>
        <w:rPr>
          <w:rFonts w:asciiTheme="minorHAnsi" w:hAnsiTheme="minorHAnsi" w:cstheme="minorHAnsi"/>
          <w:color w:val="1D1D1D"/>
          <w:spacing w:val="11"/>
          <w:sz w:val="28"/>
          <w:szCs w:val="28"/>
        </w:rPr>
      </w:pPr>
      <w:r w:rsidRPr="00B12F33">
        <w:rPr>
          <w:rStyle w:val="a3"/>
          <w:rFonts w:asciiTheme="minorHAnsi" w:hAnsiTheme="minorHAnsi" w:cstheme="minorHAnsi"/>
          <w:color w:val="1D1D1D"/>
          <w:spacing w:val="11"/>
          <w:sz w:val="28"/>
          <w:szCs w:val="28"/>
        </w:rPr>
        <w:t>Σύνταξη Αναπηρίας ασφαλισμένων ιδιωτικού τομέα (Άρθρο 26 </w:t>
      </w:r>
      <w:hyperlink r:id="rId4" w:tgtFrame="_blank" w:history="1">
        <w:r w:rsidRPr="00B12F33">
          <w:rPr>
            <w:rStyle w:val="a3"/>
            <w:rFonts w:asciiTheme="minorHAnsi" w:hAnsiTheme="minorHAnsi" w:cstheme="minorHAnsi"/>
            <w:color w:val="1D59BF"/>
            <w:spacing w:val="11"/>
            <w:sz w:val="28"/>
            <w:szCs w:val="28"/>
          </w:rPr>
          <w:t>ν.4997/2022</w:t>
        </w:r>
      </w:hyperlink>
      <w:r w:rsidRPr="00B12F33">
        <w:rPr>
          <w:rStyle w:val="a3"/>
          <w:rFonts w:asciiTheme="minorHAnsi" w:hAnsiTheme="minorHAnsi" w:cstheme="minorHAnsi"/>
          <w:color w:val="1D1D1D"/>
          <w:spacing w:val="11"/>
          <w:sz w:val="28"/>
          <w:szCs w:val="28"/>
        </w:rPr>
        <w:t>):</w:t>
      </w:r>
    </w:p>
    <w:p w:rsidR="00B924E7" w:rsidRPr="00B924E7" w:rsidRDefault="00B924E7" w:rsidP="00B924E7">
      <w:pPr>
        <w:pStyle w:val="Web"/>
        <w:shd w:val="clear" w:color="auto" w:fill="FFFFFF"/>
        <w:spacing w:before="192" w:beforeAutospacing="0" w:after="192" w:afterAutospacing="0"/>
        <w:rPr>
          <w:rStyle w:val="a3"/>
          <w:rFonts w:asciiTheme="minorHAnsi" w:hAnsiTheme="minorHAnsi" w:cstheme="minorHAnsi"/>
          <w:color w:val="1D1D1D"/>
          <w:spacing w:val="11"/>
          <w:sz w:val="28"/>
          <w:szCs w:val="28"/>
          <w:u w:val="single"/>
        </w:rPr>
      </w:pPr>
    </w:p>
    <w:p w:rsidR="00B924E7" w:rsidRPr="00B924E7" w:rsidRDefault="00B924E7" w:rsidP="00B924E7">
      <w:pPr>
        <w:pStyle w:val="Web"/>
        <w:shd w:val="clear" w:color="auto" w:fill="FFFFFF"/>
        <w:spacing w:before="192" w:beforeAutospacing="0" w:after="192" w:afterAutospacing="0"/>
        <w:rPr>
          <w:rStyle w:val="a3"/>
          <w:rFonts w:asciiTheme="minorHAnsi" w:hAnsiTheme="minorHAnsi" w:cstheme="minorHAnsi"/>
          <w:color w:val="1D1D1D"/>
          <w:spacing w:val="11"/>
          <w:sz w:val="28"/>
          <w:szCs w:val="28"/>
          <w:u w:val="single"/>
        </w:rPr>
      </w:pPr>
    </w:p>
    <w:p w:rsidR="00B924E7" w:rsidRPr="00B924E7" w:rsidRDefault="00B924E7" w:rsidP="00B924E7">
      <w:pPr>
        <w:pStyle w:val="Web"/>
        <w:shd w:val="clear" w:color="auto" w:fill="FFFFFF"/>
        <w:spacing w:before="192" w:beforeAutospacing="0" w:after="192" w:afterAutospacing="0"/>
        <w:rPr>
          <w:rStyle w:val="a3"/>
          <w:rFonts w:asciiTheme="minorHAnsi" w:hAnsiTheme="minorHAnsi" w:cstheme="minorHAnsi"/>
          <w:color w:val="1D1D1D"/>
          <w:spacing w:val="11"/>
          <w:sz w:val="28"/>
          <w:szCs w:val="28"/>
          <w:u w:val="single"/>
        </w:rPr>
      </w:pPr>
    </w:p>
    <w:p w:rsidR="00B924E7" w:rsidRPr="00B924E7" w:rsidRDefault="00B924E7" w:rsidP="00B924E7">
      <w:pPr>
        <w:pStyle w:val="Web"/>
        <w:shd w:val="clear" w:color="auto" w:fill="FFFFFF"/>
        <w:spacing w:before="192" w:beforeAutospacing="0" w:after="192" w:afterAutospacing="0"/>
        <w:rPr>
          <w:rStyle w:val="a3"/>
          <w:rFonts w:asciiTheme="minorHAnsi" w:hAnsiTheme="minorHAnsi" w:cstheme="minorHAnsi"/>
          <w:color w:val="1D1D1D"/>
          <w:spacing w:val="11"/>
          <w:sz w:val="28"/>
          <w:szCs w:val="28"/>
          <w:u w:val="single"/>
        </w:rPr>
      </w:pPr>
    </w:p>
    <w:p w:rsidR="00B924E7" w:rsidRPr="00B924E7" w:rsidRDefault="00B924E7" w:rsidP="00B924E7">
      <w:pPr>
        <w:pStyle w:val="Web"/>
        <w:shd w:val="clear" w:color="auto" w:fill="FFFFFF"/>
        <w:spacing w:before="192" w:beforeAutospacing="0" w:after="192" w:afterAutospacing="0"/>
        <w:rPr>
          <w:rStyle w:val="a3"/>
          <w:rFonts w:asciiTheme="minorHAnsi" w:hAnsiTheme="minorHAnsi" w:cstheme="minorHAnsi"/>
          <w:color w:val="1D1D1D"/>
          <w:spacing w:val="11"/>
          <w:sz w:val="28"/>
          <w:szCs w:val="28"/>
          <w:u w:val="single"/>
        </w:rPr>
      </w:pPr>
    </w:p>
    <w:p w:rsidR="003F03BB" w:rsidRDefault="003F03BB" w:rsidP="00B924E7"/>
    <w:sectPr w:rsidR="003F03BB" w:rsidSect="003F0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4E7"/>
    <w:rsid w:val="003F03BB"/>
    <w:rsid w:val="00B9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9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924E7"/>
    <w:rPr>
      <w:b/>
      <w:bCs/>
    </w:rPr>
  </w:style>
  <w:style w:type="character" w:styleId="a4">
    <w:name w:val="Emphasis"/>
    <w:basedOn w:val="a0"/>
    <w:uiPriority w:val="20"/>
    <w:qFormat/>
    <w:rsid w:val="00B924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pergasias.gov.gr/wp-content/uploads/2024/07/FEK_2022-11-25_%CE%91-219_%CE%9D-4997-%CE%95%CE%B9%CF%83%CF%86%CE%BF%CF%81%CE%AD%CF%82-%CE%95%CF%80%CE%B9%CE%BA%CE%BF%CF%85%CF%81%CE%B9%CE%BA%CE%AE%CF%82-%CE%91%CF%83%CF%86%CE%AC%CE%BB%CE%B9%CF%83%CE%B7%CF%82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2025-05-04T18:18:00Z</dcterms:created>
  <dcterms:modified xsi:type="dcterms:W3CDTF">2025-05-04T18:19:00Z</dcterms:modified>
</cp:coreProperties>
</file>